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FDA" w:rsidRDefault="00040FDA" w:rsidP="00040FD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01679533" r:id="rId7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3A3449D" wp14:editId="398C0D9B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40FDA" w:rsidRPr="004F03FA" w:rsidRDefault="00040FDA" w:rsidP="00040FD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oOAYJS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040FDA" w:rsidRPr="004F03FA" w:rsidRDefault="00040FDA" w:rsidP="00040FD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40FDA" w:rsidRDefault="00040FDA" w:rsidP="00040FD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040FDA" w:rsidTr="00B928A5">
        <w:tc>
          <w:tcPr>
            <w:tcW w:w="9628" w:type="dxa"/>
          </w:tcPr>
          <w:p w:rsidR="00040FDA" w:rsidRDefault="00040FDA" w:rsidP="00B928A5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040FDA" w:rsidRDefault="00040FDA" w:rsidP="00B928A5"/>
        </w:tc>
      </w:tr>
    </w:tbl>
    <w:p w:rsidR="00040FDA" w:rsidRDefault="00040FDA" w:rsidP="00040FD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>ІШЕННЯ</w:t>
      </w:r>
    </w:p>
    <w:p w:rsidR="00040FDA" w:rsidRDefault="00040FDA" w:rsidP="00040F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3166"/>
        <w:gridCol w:w="3166"/>
      </w:tblGrid>
      <w:tr w:rsidR="00040FDA" w:rsidTr="00B928A5">
        <w:tc>
          <w:tcPr>
            <w:tcW w:w="3166" w:type="dxa"/>
          </w:tcPr>
          <w:p w:rsidR="00040FDA" w:rsidRDefault="00040FDA" w:rsidP="00B928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21.12.2021</w:t>
            </w:r>
          </w:p>
        </w:tc>
        <w:tc>
          <w:tcPr>
            <w:tcW w:w="3166" w:type="dxa"/>
          </w:tcPr>
          <w:p w:rsidR="00040FDA" w:rsidRDefault="00040FDA" w:rsidP="00B928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040FDA" w:rsidRPr="001C1267" w:rsidRDefault="00040FDA" w:rsidP="00B928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1039</w:t>
            </w:r>
          </w:p>
        </w:tc>
      </w:tr>
    </w:tbl>
    <w:p w:rsidR="00040FDA" w:rsidRDefault="00040FDA" w:rsidP="00040F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0FDA" w:rsidRPr="002826AD" w:rsidRDefault="00040FDA" w:rsidP="00040FDA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A1D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надання медичної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допомоги жителям</w:t>
      </w:r>
    </w:p>
    <w:p w:rsidR="00040FDA" w:rsidRDefault="00040FDA" w:rsidP="00040FDA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Бучанської міської </w:t>
      </w:r>
      <w:r w:rsidRPr="00FA1D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територіальної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040FDA" w:rsidRPr="00FA1DC6" w:rsidRDefault="00040FDA" w:rsidP="00040FDA">
      <w:pPr>
        <w:pStyle w:val="a3"/>
        <w:rPr>
          <w:lang w:val="uk-UA"/>
        </w:rPr>
      </w:pPr>
      <w:r w:rsidRPr="00FA1DC6">
        <w:rPr>
          <w:rFonts w:ascii="Times New Roman" w:hAnsi="Times New Roman" w:cs="Times New Roman"/>
          <w:b/>
          <w:sz w:val="24"/>
          <w:szCs w:val="24"/>
          <w:lang w:val="uk-UA"/>
        </w:rPr>
        <w:t>громади</w:t>
      </w:r>
      <w:r w:rsidRPr="00FA1DC6">
        <w:rPr>
          <w:lang w:val="uk-UA"/>
        </w:rPr>
        <w:t>.</w:t>
      </w:r>
    </w:p>
    <w:p w:rsidR="00040FDA" w:rsidRDefault="00040FDA" w:rsidP="00040F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0FDA" w:rsidRDefault="00040FDA" w:rsidP="00040F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40FDA" w:rsidRDefault="00040FDA" w:rsidP="00040F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40FDA" w:rsidRPr="00C01F74" w:rsidRDefault="00040FDA" w:rsidP="00040FD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1F74">
        <w:rPr>
          <w:rFonts w:ascii="Times New Roman" w:hAnsi="Times New Roman" w:cs="Times New Roman"/>
          <w:sz w:val="24"/>
          <w:szCs w:val="24"/>
          <w:lang w:val="uk-UA"/>
        </w:rPr>
        <w:t xml:space="preserve">Заслухавши інформацію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 xml:space="preserve">начальника відділу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здоров’я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Кожедуб Ю.В.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 xml:space="preserve">ро надання медичної  допомоги населенню Бучанської міської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>,  з метою покращення надання медичної допомоги населенню Б</w:t>
      </w:r>
      <w:r>
        <w:rPr>
          <w:rFonts w:ascii="Times New Roman" w:hAnsi="Times New Roman" w:cs="Times New Roman"/>
          <w:sz w:val="24"/>
          <w:szCs w:val="24"/>
          <w:lang w:val="uk-UA"/>
        </w:rPr>
        <w:t>учанської міської  територіальної громади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>, розвитку та вдосконалення мережі медичних закладів, що забезпечують медичне обслуговування громадян, подальшого долучення до процесів реформування галузі, керуючись Законом України «Про місцеве самоврядування в Україні»</w:t>
      </w:r>
      <w:r>
        <w:rPr>
          <w:rFonts w:ascii="Times New Roman" w:hAnsi="Times New Roman" w:cs="Times New Roman"/>
          <w:sz w:val="24"/>
          <w:szCs w:val="24"/>
          <w:lang w:val="uk-UA"/>
        </w:rPr>
        <w:t>, виконавчий комітет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040FDA" w:rsidRPr="00C01F74" w:rsidRDefault="00040FDA" w:rsidP="00040FDA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1F74">
        <w:rPr>
          <w:rFonts w:ascii="Times New Roman" w:hAnsi="Times New Roman" w:cs="Times New Roman"/>
          <w:b/>
          <w:sz w:val="24"/>
          <w:szCs w:val="24"/>
          <w:lang w:val="uk-UA"/>
        </w:rPr>
        <w:t>ВИРІШИ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Pr="00C01F74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040FDA" w:rsidRDefault="00040FDA" w:rsidP="00040FD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1F74">
        <w:rPr>
          <w:rFonts w:ascii="Times New Roman" w:hAnsi="Times New Roman" w:cs="Times New Roman"/>
          <w:sz w:val="24"/>
          <w:szCs w:val="24"/>
          <w:lang w:val="uk-UA"/>
        </w:rPr>
        <w:t xml:space="preserve">Інформацію </w:t>
      </w:r>
      <w:proofErr w:type="spellStart"/>
      <w:r w:rsidRPr="00F97790">
        <w:rPr>
          <w:rFonts w:ascii="Times New Roman" w:hAnsi="Times New Roman" w:cs="Times New Roman"/>
          <w:sz w:val="24"/>
          <w:szCs w:val="24"/>
          <w:lang w:val="uk-UA"/>
        </w:rPr>
        <w:t>в.о</w:t>
      </w:r>
      <w:proofErr w:type="spellEnd"/>
      <w:r w:rsidRPr="00F9779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>начальника відділу ох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орони здоров’я </w:t>
      </w:r>
      <w:r w:rsidRPr="00F97790">
        <w:rPr>
          <w:rFonts w:ascii="Times New Roman" w:hAnsi="Times New Roman" w:cs="Times New Roman"/>
          <w:sz w:val="24"/>
          <w:szCs w:val="24"/>
          <w:lang w:val="uk-UA"/>
        </w:rPr>
        <w:t xml:space="preserve">Кожедуб Ю.В. </w:t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 xml:space="preserve">ро </w:t>
      </w:r>
      <w:r>
        <w:rPr>
          <w:rFonts w:ascii="Times New Roman" w:hAnsi="Times New Roman" w:cs="Times New Roman"/>
          <w:sz w:val="24"/>
          <w:szCs w:val="24"/>
          <w:lang w:val="uk-UA"/>
        </w:rPr>
        <w:t>надання медичної допомоги жителям Бучанської міської  територіальної громади взяти до відома, згідно додатку.</w:t>
      </w:r>
    </w:p>
    <w:p w:rsidR="00040FDA" w:rsidRPr="00C01F74" w:rsidRDefault="00040FDA" w:rsidP="00040FD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1F74">
        <w:rPr>
          <w:rFonts w:ascii="Times New Roman" w:hAnsi="Times New Roman" w:cs="Times New Roman"/>
          <w:sz w:val="24"/>
          <w:szCs w:val="24"/>
          <w:lang w:val="uk-UA"/>
        </w:rPr>
        <w:t>Вживат</w:t>
      </w:r>
      <w:r>
        <w:rPr>
          <w:rFonts w:ascii="Times New Roman" w:hAnsi="Times New Roman" w:cs="Times New Roman"/>
          <w:sz w:val="24"/>
          <w:szCs w:val="24"/>
          <w:lang w:val="uk-UA"/>
        </w:rPr>
        <w:t>и заходи щодо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 xml:space="preserve"> розвитку мережі закладів первинної медичної допомоги для наближення їх до населення громади шляхом відкриття нових амбулаторій у віддалених мікрора</w:t>
      </w:r>
      <w:r>
        <w:rPr>
          <w:rFonts w:ascii="Times New Roman" w:hAnsi="Times New Roman" w:cs="Times New Roman"/>
          <w:sz w:val="24"/>
          <w:szCs w:val="24"/>
          <w:lang w:val="uk-UA"/>
        </w:rPr>
        <w:t>йонах міс</w:t>
      </w:r>
      <w:r w:rsidRPr="00F97790">
        <w:rPr>
          <w:rFonts w:ascii="Times New Roman" w:hAnsi="Times New Roman" w:cs="Times New Roman"/>
          <w:sz w:val="24"/>
          <w:szCs w:val="24"/>
          <w:lang w:val="uk-UA"/>
        </w:rPr>
        <w:t xml:space="preserve">та, а також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будівництва </w:t>
      </w:r>
      <w:r w:rsidRPr="00F97790">
        <w:rPr>
          <w:rFonts w:ascii="Times New Roman" w:hAnsi="Times New Roman" w:cs="Times New Roman"/>
          <w:sz w:val="24"/>
          <w:szCs w:val="24"/>
          <w:lang w:val="uk-UA"/>
        </w:rPr>
        <w:t>амбулаторії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 xml:space="preserve"> загальної пр</w:t>
      </w:r>
      <w:r w:rsidRPr="00F97790">
        <w:rPr>
          <w:rFonts w:ascii="Times New Roman" w:hAnsi="Times New Roman" w:cs="Times New Roman"/>
          <w:sz w:val="24"/>
          <w:szCs w:val="24"/>
          <w:lang w:val="uk-UA"/>
        </w:rPr>
        <w:t>актики сімейної медицини в селищі Бабинці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F977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40FDA" w:rsidRPr="00C01F74" w:rsidRDefault="00040FDA" w:rsidP="00040FD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1F74">
        <w:rPr>
          <w:rFonts w:ascii="Times New Roman" w:hAnsi="Times New Roman" w:cs="Times New Roman"/>
          <w:sz w:val="24"/>
          <w:szCs w:val="24"/>
          <w:lang w:val="uk-UA"/>
        </w:rPr>
        <w:t>Начальнику  відділу охорони здоров</w:t>
      </w:r>
      <w:r w:rsidRPr="00C01F74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040FDA" w:rsidRPr="00C01F74" w:rsidRDefault="00040FDA" w:rsidP="00040FDA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>.1.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>Вивчити навантаження на діючі комунальні некомерц</w:t>
      </w:r>
      <w:r>
        <w:rPr>
          <w:rFonts w:ascii="Times New Roman" w:hAnsi="Times New Roman" w:cs="Times New Roman"/>
          <w:sz w:val="24"/>
          <w:szCs w:val="24"/>
          <w:lang w:val="uk-UA"/>
        </w:rPr>
        <w:t>ійні підприємства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 xml:space="preserve">, при необхідності, внести пропозиції по вдосконаленню або оптимізації структури зазначених підприємств;                                                </w:t>
      </w:r>
    </w:p>
    <w:p w:rsidR="00040FDA" w:rsidRDefault="00040FDA" w:rsidP="00040FDA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>.2.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>Контролювати дотримання чинного законодавства та галузевих нормативів при наданні медичної допомоги пацієнтам в медичних закладах, що обслуговують населення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міської 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 xml:space="preserve">територіальної громади;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3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>.3.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>Налагодити співпрацю між комунальними некомерційними підприємствами та прива</w:t>
      </w:r>
      <w:r>
        <w:rPr>
          <w:rFonts w:ascii="Times New Roman" w:hAnsi="Times New Roman" w:cs="Times New Roman"/>
          <w:sz w:val="24"/>
          <w:szCs w:val="24"/>
          <w:lang w:val="uk-UA"/>
        </w:rPr>
        <w:t>тними медичними закладами;</w:t>
      </w:r>
    </w:p>
    <w:p w:rsidR="00040FDA" w:rsidRDefault="00040FDA" w:rsidP="00040FDA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3.4. Здійснювати моніторинг та аналіз якості надання медичної допомоги та медичного обслуговування населення в комунальних закладах, а також аналіз діяльності закладів, їх надходжень та видатків за напрямками використання у відповідності до статутної діяльності та чинного законодавства;</w:t>
      </w:r>
    </w:p>
    <w:p w:rsidR="00040FDA" w:rsidRDefault="00040FDA" w:rsidP="00040FDA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3.5. Вивчати проблемні питання:</w:t>
      </w:r>
    </w:p>
    <w:p w:rsidR="00040FDA" w:rsidRDefault="00040FDA" w:rsidP="00040FDA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організації  медичного обслуговування населення; </w:t>
      </w:r>
    </w:p>
    <w:p w:rsidR="00040FDA" w:rsidRDefault="00040FDA" w:rsidP="00040FDA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організації лікувально-діагностичного процесу; </w:t>
      </w:r>
    </w:p>
    <w:p w:rsidR="00040FDA" w:rsidRDefault="00040FDA" w:rsidP="00040FDA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- кадрового та матеріального забезпечення закладів;</w:t>
      </w:r>
    </w:p>
    <w:p w:rsidR="00040FDA" w:rsidRDefault="00040FDA" w:rsidP="00040FDA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перспектив розвитку та запровадження новітніх методик та технологій у лікувально-діагностичний процес.</w:t>
      </w:r>
    </w:p>
    <w:p w:rsidR="00040FDA" w:rsidRDefault="00040FDA" w:rsidP="00040FDA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3.6. Надавати пропозиції щодо покращення  роботи та матеріального забезпечення медичних  закладів, які здійснюють медичне обслуговування населення.</w:t>
      </w:r>
    </w:p>
    <w:p w:rsidR="00040FDA" w:rsidRPr="00C01F74" w:rsidRDefault="00040FDA" w:rsidP="00040FD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Керівникам к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>омуналь</w:t>
      </w:r>
      <w:r>
        <w:rPr>
          <w:rFonts w:ascii="Times New Roman" w:hAnsi="Times New Roman" w:cs="Times New Roman"/>
          <w:sz w:val="24"/>
          <w:szCs w:val="24"/>
          <w:lang w:val="uk-UA"/>
        </w:rPr>
        <w:t>них некомерційних підприємств «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>Бучанський  центр первинної  медико – санітарної допомоги»  та  «Бучанський консультативно-діагностичний центр»:</w:t>
      </w:r>
    </w:p>
    <w:p w:rsidR="00040FDA" w:rsidRPr="00C01F74" w:rsidRDefault="00040FDA" w:rsidP="00040FDA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>.1.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>Забезпечити належний рівень медичного обслуговування та надання  медичної допомоги у підпорядкованих закладах;</w:t>
      </w:r>
    </w:p>
    <w:p w:rsidR="00040FDA" w:rsidRPr="00C01F74" w:rsidRDefault="00040FDA" w:rsidP="00040FDA">
      <w:pPr>
        <w:pStyle w:val="a3"/>
        <w:ind w:left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>.2.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>Надати пропозиції щодо шляхів покращення надання медичної допомоги населенню та вдосконалення і оптимізації існуючої структури закладів;</w:t>
      </w:r>
    </w:p>
    <w:p w:rsidR="00040FDA" w:rsidRPr="00C01F74" w:rsidRDefault="00040FDA" w:rsidP="00040FDA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4.3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>В ЗМІ та соцмережах надавати та оновлювати інформацію про діяльність медичних закладів, основні напрямки та етапи реформування медичної галузі, інформацію про запобігання захворювань та поради по дотриманню здорового способу життя.</w:t>
      </w:r>
    </w:p>
    <w:p w:rsidR="00040FDA" w:rsidRPr="006E2059" w:rsidRDefault="00040FDA" w:rsidP="00040FD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5.  </w:t>
      </w:r>
      <w:r w:rsidRPr="00C01F74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 з соціально-гуманітарних питань Шепетька С.А.     </w:t>
      </w:r>
    </w:p>
    <w:p w:rsidR="00040FDA" w:rsidRPr="00C01F74" w:rsidRDefault="00040FDA" w:rsidP="00040FD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40FDA" w:rsidRDefault="00040FDA" w:rsidP="00040FDA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0FDA" w:rsidRDefault="00040FDA" w:rsidP="00040FD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Міський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Анатолій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ФЕДОРУК </w:t>
      </w:r>
    </w:p>
    <w:p w:rsidR="00040FDA" w:rsidRDefault="00040FDA" w:rsidP="00040FDA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040FDA" w:rsidRDefault="00040FDA" w:rsidP="00040F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40FDA" w:rsidRDefault="00040FDA" w:rsidP="00040F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D55AE" w:rsidRDefault="002D55AE">
      <w:bookmarkStart w:id="0" w:name="_GoBack"/>
      <w:bookmarkEnd w:id="0"/>
    </w:p>
    <w:sectPr w:rsidR="002D55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27951"/>
    <w:multiLevelType w:val="multilevel"/>
    <w:tmpl w:val="6854F1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FDA"/>
    <w:rsid w:val="00040FDA"/>
    <w:rsid w:val="002D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FDA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0FDA"/>
    <w:pPr>
      <w:spacing w:after="0" w:line="240" w:lineRule="auto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FDA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0FDA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2259</Words>
  <Characters>1288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2021-12-22T09:58:00Z</dcterms:created>
  <dcterms:modified xsi:type="dcterms:W3CDTF">2021-12-22T09:59:00Z</dcterms:modified>
</cp:coreProperties>
</file>